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盱眙山水生态建设有限公司：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Times New Roman" w:hAnsi="Times New Roman" w:eastAsia="仿宋_GB2312"/>
          <w:sz w:val="32"/>
          <w:szCs w:val="32"/>
        </w:rPr>
        <w:t>城南人家保障房项目涉及灰岩、页岩及泥岩（一期）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》竞价规则，以及该批灰岩、页岩及泥岩的品质。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我公司决定：参加竞价，灰岩数量约2万吨，页岩及泥岩数量约3万吨，总量约5万吨，报价为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元（不含渣土、装卸、运输及过磅费用）。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6BB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2023-06-10T09:27:41Z</dcterms:created>
  <dc:creator>Administrator</dc:creator>
  <cp:lastModifiedBy>Administrator</cp:lastModifiedBy>
  <dcterms:modified xsi:type="dcterms:W3CDTF">2023-06-10T09:28:00Z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76E76C03E23E46B6913983B854C59BAF_12</vt:lpwstr>
  </property>
</Properties>
</file>